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803374" w:rsidRDefault="003154A2" w:rsidP="00803374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03374">
        <w:rPr>
          <w:rFonts w:ascii="Arial" w:hAnsi="Arial" w:cs="Arial"/>
          <w:b/>
          <w:sz w:val="28"/>
          <w:szCs w:val="28"/>
        </w:rPr>
        <w:t xml:space="preserve">PROGRAMA </w:t>
      </w:r>
      <w:r w:rsidR="00EC7AD9" w:rsidRPr="00803374">
        <w:rPr>
          <w:rFonts w:ascii="Arial" w:hAnsi="Arial" w:cs="Arial"/>
          <w:b/>
          <w:sz w:val="28"/>
          <w:szCs w:val="28"/>
        </w:rPr>
        <w:t>4</w:t>
      </w:r>
      <w:r w:rsidR="00591E7D" w:rsidRPr="00803374">
        <w:rPr>
          <w:rFonts w:ascii="Arial" w:hAnsi="Arial" w:cs="Arial"/>
          <w:b/>
          <w:sz w:val="28"/>
          <w:szCs w:val="28"/>
        </w:rPr>
        <w:t>2</w:t>
      </w:r>
      <w:r w:rsidR="00EC7AD9" w:rsidRPr="00803374">
        <w:rPr>
          <w:rFonts w:ascii="Arial" w:hAnsi="Arial" w:cs="Arial"/>
          <w:b/>
          <w:sz w:val="28"/>
          <w:szCs w:val="28"/>
        </w:rPr>
        <w:t>LB</w:t>
      </w:r>
    </w:p>
    <w:p w:rsidR="003154A2" w:rsidRPr="00803374" w:rsidRDefault="00531BE2" w:rsidP="00803374">
      <w:pPr>
        <w:spacing w:after="24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03374">
        <w:rPr>
          <w:rFonts w:ascii="Arial" w:hAnsi="Arial" w:cs="Arial"/>
          <w:b/>
          <w:sz w:val="26"/>
          <w:szCs w:val="26"/>
        </w:rPr>
        <w:t>C12</w:t>
      </w:r>
      <w:r w:rsidR="00CB58FF" w:rsidRPr="00803374">
        <w:rPr>
          <w:rFonts w:ascii="Arial" w:hAnsi="Arial" w:cs="Arial"/>
          <w:b/>
          <w:sz w:val="26"/>
          <w:szCs w:val="26"/>
        </w:rPr>
        <w:t xml:space="preserve"> </w:t>
      </w:r>
      <w:r w:rsidRPr="00803374">
        <w:rPr>
          <w:rFonts w:ascii="Arial" w:hAnsi="Arial" w:cs="Arial"/>
          <w:b/>
          <w:sz w:val="26"/>
          <w:szCs w:val="26"/>
        </w:rPr>
        <w:t xml:space="preserve">I02 </w:t>
      </w:r>
      <w:r w:rsidR="00CA0691" w:rsidRPr="00803374">
        <w:rPr>
          <w:rFonts w:ascii="Arial" w:hAnsi="Arial" w:cs="Arial"/>
          <w:b/>
          <w:sz w:val="26"/>
          <w:szCs w:val="26"/>
        </w:rPr>
        <w:t>PROGRAMA DE IMPULSO DE LA COMPETITIVIDAD Y SOSTENIBILIDAD INDUSTRIAL</w:t>
      </w:r>
      <w:r w:rsidR="002A6B96" w:rsidRPr="00803374">
        <w:rPr>
          <w:rFonts w:ascii="Arial" w:hAnsi="Arial" w:cs="Arial"/>
          <w:b/>
          <w:sz w:val="26"/>
          <w:szCs w:val="26"/>
        </w:rPr>
        <w:t xml:space="preserve"> </w:t>
      </w:r>
      <w:r w:rsidR="00F812D7" w:rsidRPr="00803374">
        <w:rPr>
          <w:rFonts w:ascii="Arial" w:hAnsi="Arial" w:cs="Arial"/>
          <w:b/>
          <w:sz w:val="26"/>
          <w:szCs w:val="26"/>
        </w:rPr>
        <w:t>E</w:t>
      </w:r>
      <w:r w:rsidR="002A6B96" w:rsidRPr="00803374">
        <w:rPr>
          <w:rFonts w:ascii="Arial" w:hAnsi="Arial" w:cs="Arial"/>
          <w:b/>
          <w:sz w:val="26"/>
          <w:szCs w:val="26"/>
        </w:rPr>
        <w:t xml:space="preserve"> I+D+I</w:t>
      </w:r>
    </w:p>
    <w:p w:rsidR="00517824" w:rsidRPr="00517824" w:rsidRDefault="00517824" w:rsidP="0080337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CA0691" w:rsidRPr="00517824">
        <w:rPr>
          <w:rFonts w:ascii="Arial" w:hAnsi="Arial" w:cs="Arial"/>
          <w:b/>
          <w:sz w:val="22"/>
          <w:szCs w:val="22"/>
        </w:rPr>
        <w:t>DENOMINACIÓN DEL COMPONENTE</w:t>
      </w:r>
    </w:p>
    <w:tbl>
      <w:tblPr>
        <w:tblW w:w="1142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0"/>
      </w:tblGrid>
      <w:tr w:rsidR="00DC7CA9" w:rsidRPr="003E7D9E" w:rsidTr="00377A9D">
        <w:trPr>
          <w:trHeight w:val="435"/>
        </w:trPr>
        <w:tc>
          <w:tcPr>
            <w:tcW w:w="6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31BE2" w:rsidRPr="0016058C" w:rsidRDefault="00531BE2" w:rsidP="00803374">
            <w:pPr>
              <w:widowControl w:val="0"/>
              <w:spacing w:before="120" w:after="120" w:line="360" w:lineRule="auto"/>
              <w:ind w:firstLine="77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CA9">
              <w:rPr>
                <w:rFonts w:ascii="Arial" w:hAnsi="Arial" w:cs="Arial"/>
                <w:sz w:val="22"/>
                <w:szCs w:val="22"/>
              </w:rPr>
              <w:t>Política Industrial España 2030</w:t>
            </w:r>
            <w:r w:rsidR="003E7D9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517824" w:rsidRPr="00517824" w:rsidRDefault="00517824" w:rsidP="0080337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CA0691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>La industria manufacturera (excluido el sector energético) representa un 12</w:t>
      </w:r>
      <w:r w:rsidR="00866338">
        <w:rPr>
          <w:rFonts w:ascii="Arial" w:hAnsi="Arial" w:cs="Arial"/>
          <w:sz w:val="22"/>
          <w:szCs w:val="22"/>
        </w:rPr>
        <w:t>,</w:t>
      </w:r>
      <w:r w:rsidRPr="00DC7CA9">
        <w:rPr>
          <w:rFonts w:ascii="Arial" w:hAnsi="Arial" w:cs="Arial"/>
          <w:sz w:val="22"/>
          <w:szCs w:val="22"/>
        </w:rPr>
        <w:t>3% del Valor Añadido Bruto de la economía española, un porcentaje inferior a los países de nuestro entorno que supone un elemento de vulnerabilidad, dada la mayor resiliencia mostrada ante la crisis financiera y la actual crisis sanitaria así como una mayor productividad que otros sectores, atribuyéndose a la industria un 83% de la exportación total española, ostentando los mayores ratios de estabilidad en el empleo y mayores salarios que en el resto de sectores económicos.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 xml:space="preserve">En este terreno, España dispone de un importante tejido productivo en algunos sectores tractores, que serán clave para abordar la transición ecológica y la transformación digital de la economía, que se impulsará mediante </w:t>
      </w:r>
      <w:r w:rsidR="00A101B0" w:rsidRPr="00DC7CA9">
        <w:rPr>
          <w:rFonts w:ascii="Arial" w:hAnsi="Arial" w:cs="Arial"/>
          <w:sz w:val="22"/>
          <w:szCs w:val="22"/>
        </w:rPr>
        <w:t>el Plan de Recuperación, Transformación y Resiliencia</w:t>
      </w:r>
      <w:r w:rsidRPr="00DC7CA9">
        <w:rPr>
          <w:rFonts w:ascii="Arial" w:hAnsi="Arial" w:cs="Arial"/>
          <w:sz w:val="22"/>
          <w:szCs w:val="22"/>
        </w:rPr>
        <w:t>, enfocado a esos sectores industriales, en particular a aquellos con efecto tractor, entre los que cabe destacar, aunque no de forma exclusiva, la automoción y su transición hacia el vehículo eléctrico, el sector agroalimentario, el de la salud, el sector aeronáutico o el naval, entre otros.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>En el caso del sector de la automoción, que representa</w:t>
      </w:r>
      <w:r w:rsidR="00375534">
        <w:rPr>
          <w:rFonts w:ascii="Arial" w:hAnsi="Arial" w:cs="Arial"/>
          <w:sz w:val="22"/>
          <w:szCs w:val="22"/>
        </w:rPr>
        <w:t>ba</w:t>
      </w:r>
      <w:r w:rsidRPr="00DC7CA9">
        <w:rPr>
          <w:rFonts w:ascii="Arial" w:hAnsi="Arial" w:cs="Arial"/>
          <w:sz w:val="22"/>
          <w:szCs w:val="22"/>
        </w:rPr>
        <w:t xml:space="preserve"> en 2019 un 11% del PIB y más de 300.000 puestos de trabajo directos (de ellos 65.000 en centros de fabricación y el resto entre proveedores, concesionarios y talleres de reparación), existe una cadena de valor integrada y consolidada en España que incluye empresas de componentes, ensamblaje, logística y otros servicios auxiliares. 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>Pero también existen otros sectores donde son varias las empresas clave, como la industria aeronáutica, o en el ámbito de la máquina-herramienta. en el que España dispone también de una posición importante, la industria farmacéutica, el sector químico, el agroalimentario, etc.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 xml:space="preserve">Finalmente, el tejido industrial cuenta con importantes empresas electro-intensivas que, en el ámbito del aluminio, el acero, la cerámica o el cemento, han empezado a abordar </w:t>
      </w:r>
      <w:r w:rsidRPr="00DC7CA9">
        <w:rPr>
          <w:rFonts w:ascii="Arial" w:hAnsi="Arial" w:cs="Arial"/>
          <w:sz w:val="22"/>
          <w:szCs w:val="22"/>
        </w:rPr>
        <w:lastRenderedPageBreak/>
        <w:t>un proceso de modernización y transformación para incorporar las tecnologías más eficientes y acompañar el importante proceso de reforma energética para lograr los objetivos fijados para 2050, y que constituyen los primeros eslabones en las grandes cadenas de valor industriales europeas.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 xml:space="preserve">El proceso de digitalización está llevando a la convergencia de los sectores productivos tradicionales, desarrollándose un nuevo ecosistema de industria-servicios con cadenas de valor de alta productividad y competitividad internacional.  Asimismo, la pandemia ha puesto de manifiesto la importancia de contar con capacidades de producción en territorio de la UE con el fin de garantizar la autonomía estratégica y la resiliencia a largo plazo. </w:t>
      </w:r>
    </w:p>
    <w:p w:rsidR="0035033C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>Con el fin de coordinar las actuaciones de las diferentes administraciones públicas y aprovechar las sinergias de las inversiones público-privadas, el Plan prevé la identificación de Proyectos Estratégicos para la Recuperación y la Transformación Económica (</w:t>
      </w:r>
      <w:proofErr w:type="spellStart"/>
      <w:r w:rsidRPr="00DC7CA9">
        <w:rPr>
          <w:rFonts w:ascii="Arial" w:hAnsi="Arial" w:cs="Arial"/>
          <w:sz w:val="22"/>
          <w:szCs w:val="22"/>
        </w:rPr>
        <w:t>PERTEs</w:t>
      </w:r>
      <w:proofErr w:type="spellEnd"/>
      <w:r w:rsidRPr="00DC7CA9">
        <w:rPr>
          <w:rFonts w:ascii="Arial" w:hAnsi="Arial" w:cs="Arial"/>
          <w:sz w:val="22"/>
          <w:szCs w:val="22"/>
        </w:rPr>
        <w:t>). Se trata de proyectos que engloban la cadena de valor en un ámbito estratégico, responden a un fallo de mercado y tienen un especial peso desde el punto de vista de la complejidad, la envergadura o el impacto potencial a largo plazo. Con el fin de identificar estos proyectos, se han lanzado distintas invitaciones a manifestación de interés, que han contado con una importante respuesta. El primer PERTE anunciado se constituirá para el desarrollo del vehículo eléctrico, propiciando la formación de un consorcio que incluya a las principales empresas ensambladoras presentes en territorio español, así como las empresas de componentes, telecomunicaciones, energéticas, de logística, etc.</w:t>
      </w:r>
    </w:p>
    <w:p w:rsidR="00517824" w:rsidRPr="00DC7CA9" w:rsidRDefault="0035033C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 xml:space="preserve">Asimismo, las empresas españolas disponen de capacidades para contribuir a los proyectos de interés común europeo (IPCEI) en ámbitos como los de baterías, hidrógeno verde, microprocesadores, </w:t>
      </w:r>
      <w:proofErr w:type="spellStart"/>
      <w:r w:rsidRPr="00DC7CA9">
        <w:rPr>
          <w:rFonts w:ascii="Arial" w:hAnsi="Arial" w:cs="Arial"/>
          <w:sz w:val="22"/>
          <w:szCs w:val="22"/>
        </w:rPr>
        <w:t>cloud</w:t>
      </w:r>
      <w:proofErr w:type="spellEnd"/>
      <w:r w:rsidRPr="00DC7CA9">
        <w:rPr>
          <w:rFonts w:ascii="Arial" w:hAnsi="Arial" w:cs="Arial"/>
          <w:sz w:val="22"/>
          <w:szCs w:val="22"/>
        </w:rPr>
        <w:t>, etc., para lo que estos Proyectos Tractores también ayudarán a preparar al sector industrial español, especialmente atomizado y con un porcentaje enorme de pequeñas o medianas empresas, para su participación en los grandes proyectos colaborativos transnacionales, como puede ser el caso de los IPCEI futuros.</w:t>
      </w:r>
    </w:p>
    <w:p w:rsidR="00517824" w:rsidRPr="00DC7CA9" w:rsidRDefault="00517824" w:rsidP="0080337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DC7CA9">
        <w:rPr>
          <w:rFonts w:ascii="Arial" w:hAnsi="Arial" w:cs="Arial"/>
          <w:b/>
          <w:sz w:val="22"/>
          <w:szCs w:val="22"/>
        </w:rPr>
        <w:t xml:space="preserve">3. </w:t>
      </w:r>
      <w:r w:rsidR="00CA0691" w:rsidRPr="00DC7CA9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EB4984" w:rsidRPr="00DC7CA9" w:rsidRDefault="00EB4984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C7CA9">
        <w:rPr>
          <w:rFonts w:ascii="Arial" w:hAnsi="Arial" w:cs="Arial"/>
          <w:sz w:val="22"/>
          <w:szCs w:val="22"/>
        </w:rPr>
        <w:t>El objetivo será impulsar la modernización y la productividad del ecosistema español de industria-servicios, mediante la digitalización de la cadena de valor, el impulso de la productividad, la competitividad y la mejora de la eficiencia energética de los sectores estratégicos claves en la transición ecológica y la transformación digital.</w:t>
      </w:r>
    </w:p>
    <w:p w:rsidR="002D6322" w:rsidRPr="0016058C" w:rsidRDefault="002D6322" w:rsidP="00803374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6058C">
        <w:rPr>
          <w:rFonts w:ascii="Arial" w:hAnsi="Arial" w:cs="Arial"/>
          <w:sz w:val="22"/>
          <w:szCs w:val="22"/>
        </w:rPr>
        <w:t xml:space="preserve">Esta estrategia incluye los siguientes objetivos: </w:t>
      </w:r>
    </w:p>
    <w:p w:rsidR="003E7D9E" w:rsidRPr="00D25AF3" w:rsidRDefault="002D6322" w:rsidP="00601CB0">
      <w:pPr>
        <w:pStyle w:val="Prrafodelista"/>
        <w:numPr>
          <w:ilvl w:val="0"/>
          <w:numId w:val="4"/>
        </w:numPr>
        <w:spacing w:before="120" w:after="120" w:line="360" w:lineRule="auto"/>
        <w:ind w:left="851" w:hanging="425"/>
        <w:contextualSpacing w:val="0"/>
        <w:jc w:val="both"/>
        <w:rPr>
          <w:rFonts w:ascii="Arial" w:hAnsi="Arial" w:cs="Arial"/>
          <w:bCs/>
          <w:iCs/>
          <w:sz w:val="22"/>
          <w:szCs w:val="22"/>
          <w:lang w:val="es-ES"/>
        </w:rPr>
      </w:pPr>
      <w:r w:rsidRPr="0016058C">
        <w:rPr>
          <w:rFonts w:ascii="Arial" w:hAnsi="Arial" w:cs="Arial"/>
          <w:b/>
          <w:sz w:val="22"/>
          <w:szCs w:val="22"/>
        </w:rPr>
        <w:lastRenderedPageBreak/>
        <w:t>Digitalización de sectores estratégicos</w:t>
      </w:r>
      <w:r w:rsidRPr="0016058C">
        <w:rPr>
          <w:rFonts w:ascii="Arial" w:hAnsi="Arial" w:cs="Arial"/>
          <w:sz w:val="22"/>
          <w:szCs w:val="22"/>
        </w:rPr>
        <w:t xml:space="preserve">: salud, automoción, turismo y comercio, además del agroalimentario, estableciendo mecanismos de colaboración público-privada para el desarrollo de soluciones tecnológicas </w:t>
      </w:r>
      <w:proofErr w:type="spellStart"/>
      <w:r w:rsidRPr="0016058C">
        <w:rPr>
          <w:rFonts w:ascii="Arial" w:hAnsi="Arial" w:cs="Arial"/>
          <w:sz w:val="22"/>
          <w:szCs w:val="22"/>
        </w:rPr>
        <w:t>qu</w:t>
      </w:r>
      <w:r w:rsidRPr="00D25AF3">
        <w:rPr>
          <w:rFonts w:ascii="Arial" w:hAnsi="Arial" w:cs="Arial"/>
          <w:bCs/>
          <w:iCs/>
          <w:sz w:val="22"/>
          <w:szCs w:val="22"/>
          <w:lang w:val="es-ES"/>
        </w:rPr>
        <w:t>e</w:t>
      </w:r>
      <w:proofErr w:type="spellEnd"/>
      <w:r w:rsidRPr="00D25AF3">
        <w:rPr>
          <w:rFonts w:ascii="Arial" w:hAnsi="Arial" w:cs="Arial"/>
          <w:bCs/>
          <w:iCs/>
          <w:sz w:val="22"/>
          <w:szCs w:val="22"/>
          <w:lang w:val="es-ES"/>
        </w:rPr>
        <w:t xml:space="preserve"> aumenten la productividad a lo largo de toda la cadena de valor de estos sectores, en los que España cuenta con una posición de liderazgo;</w:t>
      </w:r>
    </w:p>
    <w:p w:rsidR="003E7D9E" w:rsidRPr="0016058C" w:rsidRDefault="002D6322" w:rsidP="00601CB0">
      <w:pPr>
        <w:pStyle w:val="Prrafodelista"/>
        <w:numPr>
          <w:ilvl w:val="0"/>
          <w:numId w:val="4"/>
        </w:numPr>
        <w:spacing w:before="120" w:after="120" w:line="360" w:lineRule="auto"/>
        <w:ind w:left="851" w:hanging="425"/>
        <w:contextualSpacing w:val="0"/>
        <w:jc w:val="both"/>
        <w:rPr>
          <w:rFonts w:ascii="Arial" w:hAnsi="Arial" w:cs="Arial"/>
          <w:b/>
          <w:bCs/>
          <w:iCs/>
          <w:sz w:val="22"/>
          <w:szCs w:val="22"/>
          <w:lang w:val="es-ES"/>
        </w:rPr>
      </w:pPr>
      <w:r w:rsidRPr="00D25AF3">
        <w:rPr>
          <w:rFonts w:ascii="Arial" w:hAnsi="Arial" w:cs="Arial"/>
          <w:b/>
          <w:bCs/>
          <w:iCs/>
          <w:sz w:val="22"/>
          <w:szCs w:val="22"/>
          <w:lang w:val="es-ES"/>
        </w:rPr>
        <w:t>Modernización</w:t>
      </w:r>
      <w:r w:rsidRPr="00D25AF3">
        <w:rPr>
          <w:rFonts w:ascii="Arial" w:hAnsi="Arial" w:cs="Arial"/>
          <w:b/>
          <w:sz w:val="22"/>
          <w:szCs w:val="22"/>
          <w:lang w:val="es-ES"/>
        </w:rPr>
        <w:t xml:space="preserve"> y sostenibilidad de la industria</w:t>
      </w:r>
      <w:r w:rsidRPr="00D25AF3">
        <w:rPr>
          <w:rFonts w:ascii="Arial" w:hAnsi="Arial" w:cs="Arial"/>
          <w:b/>
          <w:bCs/>
          <w:iCs/>
          <w:sz w:val="22"/>
          <w:szCs w:val="22"/>
          <w:lang w:val="es-ES"/>
        </w:rPr>
        <w:t xml:space="preserve">, </w:t>
      </w:r>
      <w:r w:rsidRPr="00D25AF3">
        <w:rPr>
          <w:rFonts w:ascii="Arial" w:hAnsi="Arial" w:cs="Arial"/>
          <w:bCs/>
          <w:iCs/>
          <w:sz w:val="22"/>
          <w:szCs w:val="22"/>
          <w:lang w:val="es-ES"/>
        </w:rPr>
        <w:t xml:space="preserve">con especial atención al acompañamiento de la transformación de la industria </w:t>
      </w:r>
      <w:proofErr w:type="spellStart"/>
      <w:r w:rsidRPr="00D25AF3">
        <w:rPr>
          <w:rFonts w:ascii="Arial" w:hAnsi="Arial" w:cs="Arial"/>
          <w:bCs/>
          <w:iCs/>
          <w:sz w:val="22"/>
          <w:szCs w:val="22"/>
          <w:lang w:val="es-ES"/>
        </w:rPr>
        <w:t>electrointensiva</w:t>
      </w:r>
      <w:proofErr w:type="spellEnd"/>
      <w:r w:rsidRPr="00D25AF3">
        <w:rPr>
          <w:rFonts w:ascii="Arial" w:hAnsi="Arial" w:cs="Arial"/>
          <w:bCs/>
          <w:iCs/>
          <w:sz w:val="22"/>
          <w:szCs w:val="22"/>
          <w:lang w:val="es-ES"/>
        </w:rPr>
        <w:t>.</w:t>
      </w:r>
    </w:p>
    <w:p w:rsidR="003E7D9E" w:rsidRPr="00D035C9" w:rsidRDefault="002D6322" w:rsidP="00601CB0">
      <w:pPr>
        <w:pStyle w:val="Prrafodelista"/>
        <w:numPr>
          <w:ilvl w:val="0"/>
          <w:numId w:val="4"/>
        </w:numPr>
        <w:spacing w:before="120" w:after="120" w:line="360" w:lineRule="auto"/>
        <w:ind w:left="851" w:hanging="425"/>
        <w:contextualSpacing w:val="0"/>
        <w:jc w:val="both"/>
        <w:rPr>
          <w:rFonts w:ascii="Arial" w:hAnsi="Arial" w:cs="Arial"/>
          <w:bCs/>
          <w:iCs/>
          <w:sz w:val="22"/>
          <w:szCs w:val="22"/>
          <w:lang w:val="es-ES"/>
        </w:rPr>
      </w:pPr>
      <w:r w:rsidRPr="00D25AF3">
        <w:rPr>
          <w:rFonts w:ascii="Arial" w:hAnsi="Arial" w:cs="Arial"/>
          <w:b/>
          <w:bCs/>
          <w:iCs/>
          <w:sz w:val="22"/>
          <w:szCs w:val="22"/>
          <w:lang w:val="es-ES"/>
        </w:rPr>
        <w:t>Impulso</w:t>
      </w:r>
      <w:r w:rsidRPr="00D25AF3">
        <w:rPr>
          <w:rFonts w:ascii="Arial" w:hAnsi="Arial" w:cs="Arial"/>
          <w:b/>
          <w:sz w:val="22"/>
          <w:szCs w:val="22"/>
          <w:lang w:val="es-ES"/>
        </w:rPr>
        <w:t xml:space="preserve"> de las industrias tractoras “verdes” y digitales</w:t>
      </w:r>
      <w:r w:rsidRPr="00D25AF3">
        <w:rPr>
          <w:rFonts w:ascii="Arial" w:hAnsi="Arial" w:cs="Arial"/>
          <w:bCs/>
          <w:iCs/>
          <w:sz w:val="22"/>
          <w:szCs w:val="22"/>
          <w:lang w:val="es-ES"/>
        </w:rPr>
        <w:t xml:space="preserve">, incluyendo los proyectos de interés común europeo; </w:t>
      </w:r>
    </w:p>
    <w:p w:rsidR="00517824" w:rsidRPr="00D25AF3" w:rsidRDefault="002D6322" w:rsidP="00601CB0">
      <w:pPr>
        <w:pStyle w:val="Prrafodelista"/>
        <w:numPr>
          <w:ilvl w:val="0"/>
          <w:numId w:val="4"/>
        </w:numPr>
        <w:spacing w:before="120" w:after="120" w:line="360" w:lineRule="auto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035C9">
        <w:rPr>
          <w:rFonts w:ascii="Arial" w:hAnsi="Arial" w:cs="Arial"/>
          <w:b/>
          <w:sz w:val="22"/>
          <w:szCs w:val="22"/>
          <w:lang w:val="es-ES"/>
        </w:rPr>
        <w:t>Estrategia Española de Economía Circular</w:t>
      </w:r>
      <w:r w:rsidRPr="00D035C9">
        <w:rPr>
          <w:rFonts w:ascii="Arial" w:hAnsi="Arial" w:cs="Arial"/>
          <w:bCs/>
          <w:iCs/>
          <w:sz w:val="22"/>
          <w:szCs w:val="22"/>
          <w:lang w:val="es-ES"/>
        </w:rPr>
        <w:t xml:space="preserve"> y modernizaci</w:t>
      </w:r>
      <w:r w:rsidRPr="00440143">
        <w:rPr>
          <w:rFonts w:ascii="Arial" w:hAnsi="Arial" w:cs="Arial"/>
          <w:bCs/>
          <w:iCs/>
          <w:sz w:val="22"/>
          <w:szCs w:val="22"/>
          <w:lang w:val="es-ES"/>
        </w:rPr>
        <w:t>ón del sistema de gestión y tratamiento de residuos.</w:t>
      </w:r>
    </w:p>
    <w:p w:rsidR="00517824" w:rsidRPr="00517824" w:rsidRDefault="00517824" w:rsidP="0080337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CA0691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866338" w:rsidRPr="007E6276" w:rsidRDefault="00866338" w:rsidP="002C4998">
      <w:pPr>
        <w:pStyle w:val="Prrafodelista"/>
        <w:numPr>
          <w:ilvl w:val="0"/>
          <w:numId w:val="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7E6276">
        <w:rPr>
          <w:rFonts w:ascii="Arial" w:hAnsi="Arial" w:cs="Arial"/>
          <w:b/>
          <w:sz w:val="22"/>
          <w:szCs w:val="22"/>
          <w:lang w:val="es-ES"/>
        </w:rPr>
        <w:t>Línea de apoyo a proyectos estratégicos para la transición industrial (PERTE).</w:t>
      </w:r>
    </w:p>
    <w:p w:rsidR="00866338" w:rsidRDefault="00866338" w:rsidP="00803374">
      <w:pPr>
        <w:spacing w:before="120" w:after="120" w:line="360" w:lineRule="auto"/>
        <w:ind w:left="708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Esta línea</w:t>
      </w:r>
      <w:r w:rsidRPr="00B94E3B">
        <w:rPr>
          <w:rFonts w:ascii="Arial" w:hAnsi="Arial" w:cs="Arial"/>
          <w:sz w:val="22"/>
          <w:szCs w:val="22"/>
          <w:lang w:val="es-ES"/>
        </w:rPr>
        <w:t xml:space="preserve"> tiene como objetivo implementar proyectos en España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vinculados a algunos de los ecosistemas industriales de alto valor añadido e impacto definidos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por la Comisión Europea. También trata de preparar al sector industrial español, especialmente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atomizado y con un porcentaje enorme de pequeñas o medianas empresas, para su posible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participación en grandes proyectos colaborativos transnacionales, como por ejemplo el IPCEI.</w:t>
      </w:r>
    </w:p>
    <w:p w:rsidR="00866338" w:rsidRDefault="00866338" w:rsidP="00803374">
      <w:pPr>
        <w:spacing w:before="120" w:after="120" w:line="360" w:lineRule="auto"/>
        <w:ind w:left="708"/>
        <w:jc w:val="both"/>
        <w:rPr>
          <w:rFonts w:ascii="Arial" w:hAnsi="Arial" w:cs="Arial"/>
          <w:sz w:val="22"/>
          <w:szCs w:val="22"/>
          <w:lang w:val="es-ES"/>
        </w:rPr>
      </w:pPr>
      <w:r w:rsidRPr="00B94E3B">
        <w:rPr>
          <w:rFonts w:ascii="Arial" w:hAnsi="Arial" w:cs="Arial"/>
          <w:sz w:val="22"/>
          <w:szCs w:val="22"/>
          <w:lang w:val="es-ES"/>
        </w:rPr>
        <w:t xml:space="preserve">Los PERTE </w:t>
      </w:r>
      <w:r>
        <w:rPr>
          <w:rFonts w:ascii="Arial" w:hAnsi="Arial" w:cs="Arial"/>
          <w:sz w:val="22"/>
          <w:szCs w:val="22"/>
          <w:lang w:val="es-ES"/>
        </w:rPr>
        <w:t>movilizarán</w:t>
      </w:r>
      <w:r w:rsidRPr="00B94E3B">
        <w:rPr>
          <w:rFonts w:ascii="Arial" w:hAnsi="Arial" w:cs="Arial"/>
          <w:sz w:val="22"/>
          <w:szCs w:val="22"/>
          <w:lang w:val="es-ES"/>
        </w:rPr>
        <w:t xml:space="preserve"> un significativo número de empresas y</w:t>
      </w:r>
      <w:r>
        <w:rPr>
          <w:rFonts w:ascii="Arial" w:hAnsi="Arial" w:cs="Arial"/>
          <w:sz w:val="22"/>
          <w:szCs w:val="22"/>
          <w:lang w:val="es-ES"/>
        </w:rPr>
        <w:t xml:space="preserve"> de entidades públicas</w:t>
      </w:r>
      <w:r w:rsidRPr="00B94E3B">
        <w:rPr>
          <w:rFonts w:ascii="Arial" w:hAnsi="Arial" w:cs="Arial"/>
          <w:sz w:val="22"/>
          <w:szCs w:val="22"/>
          <w:lang w:val="es-ES"/>
        </w:rPr>
        <w:t xml:space="preserve"> con un claro componente de innovación y un alto impacto potencial en la economía, el empleo o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 xml:space="preserve">la transición ecológica. </w:t>
      </w:r>
      <w:r>
        <w:rPr>
          <w:rFonts w:ascii="Arial" w:hAnsi="Arial" w:cs="Arial"/>
          <w:sz w:val="22"/>
          <w:szCs w:val="22"/>
          <w:lang w:val="es-ES"/>
        </w:rPr>
        <w:t>Habrán de referirse</w:t>
      </w:r>
      <w:r w:rsidRPr="00B94E3B">
        <w:rPr>
          <w:rFonts w:ascii="Arial" w:hAnsi="Arial" w:cs="Arial"/>
          <w:sz w:val="22"/>
          <w:szCs w:val="22"/>
          <w:lang w:val="es-ES"/>
        </w:rPr>
        <w:t xml:space="preserve"> a toda o amplias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partes de la cadena de valor, incluyendo distintos proyectos concretos y deberán incorporar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necesariamente elementos de I+D y formación. Se trata de mecanismos de impulso y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coordinación de proyectos muy prioritarios, complejos y en los que no sólo exista un claro fallo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de mercado sino también externalidades importantes o una insuficiente iniciativa o capacidad de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B94E3B">
        <w:rPr>
          <w:rFonts w:ascii="Arial" w:hAnsi="Arial" w:cs="Arial"/>
          <w:sz w:val="22"/>
          <w:szCs w:val="22"/>
          <w:lang w:val="es-ES"/>
        </w:rPr>
        <w:t>inversión por parte del sector privado.</w:t>
      </w:r>
    </w:p>
    <w:p w:rsidR="00517824" w:rsidRPr="0016058C" w:rsidRDefault="00591E7D" w:rsidP="002C4998">
      <w:pPr>
        <w:pStyle w:val="Prrafodelista"/>
        <w:numPr>
          <w:ilvl w:val="0"/>
          <w:numId w:val="5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16058C">
        <w:rPr>
          <w:rFonts w:ascii="Arial" w:hAnsi="Arial" w:cs="Arial"/>
          <w:b/>
          <w:sz w:val="22"/>
          <w:szCs w:val="22"/>
          <w:lang w:val="es-ES"/>
        </w:rPr>
        <w:t>Plan de apoyo a infraestructuras industriales sostenibles</w:t>
      </w:r>
      <w:r w:rsidR="005624D2" w:rsidRPr="0016058C">
        <w:rPr>
          <w:rFonts w:ascii="Arial" w:hAnsi="Arial" w:cs="Arial"/>
          <w:b/>
          <w:sz w:val="22"/>
          <w:szCs w:val="22"/>
          <w:lang w:val="es-ES"/>
        </w:rPr>
        <w:t>.</w:t>
      </w:r>
    </w:p>
    <w:p w:rsidR="00591E7D" w:rsidRPr="002C4998" w:rsidRDefault="00591E7D" w:rsidP="002C4998">
      <w:pPr>
        <w:spacing w:before="120" w:after="120" w:line="360" w:lineRule="auto"/>
        <w:ind w:left="708"/>
        <w:jc w:val="both"/>
        <w:rPr>
          <w:rFonts w:ascii="Arial" w:hAnsi="Arial" w:cs="Arial"/>
          <w:sz w:val="22"/>
          <w:szCs w:val="22"/>
          <w:lang w:val="es-ES"/>
        </w:rPr>
      </w:pPr>
      <w:r w:rsidRPr="0016058C">
        <w:rPr>
          <w:rFonts w:ascii="Arial" w:hAnsi="Arial" w:cs="Arial"/>
          <w:sz w:val="22"/>
          <w:szCs w:val="22"/>
        </w:rPr>
        <w:t xml:space="preserve">Con el objetivo de que las zonas y polígono industriales de nuestro país se modernicen para generar espacios sostenibles y digitales que atraigan nuevas empresas y favorezcan la competitividad de las empresas localizadas se plantea una inversión dirigida al desarrollo de proyectos en tales zonas que permitan mejoras energéticas, recogida de residuos, ampliar y mejorar sus nodos de </w:t>
      </w:r>
      <w:r w:rsidRPr="0016058C">
        <w:rPr>
          <w:rFonts w:ascii="Arial" w:hAnsi="Arial" w:cs="Arial"/>
          <w:sz w:val="22"/>
          <w:szCs w:val="22"/>
        </w:rPr>
        <w:lastRenderedPageBreak/>
        <w:t>comunicación con la red de carreteras, ferrocarril, puertos o aeropuertos o el desarrollo de infraestructuras técnicas y servicios especializados de uso común o compartido.</w:t>
      </w:r>
    </w:p>
    <w:p w:rsidR="00591E7D" w:rsidRPr="002C4998" w:rsidRDefault="00591E7D" w:rsidP="002C4998">
      <w:pPr>
        <w:spacing w:before="120" w:after="120" w:line="360" w:lineRule="auto"/>
        <w:ind w:left="708"/>
        <w:jc w:val="both"/>
        <w:rPr>
          <w:rFonts w:ascii="Arial" w:hAnsi="Arial" w:cs="Arial"/>
          <w:sz w:val="22"/>
          <w:szCs w:val="22"/>
          <w:lang w:val="es-ES"/>
        </w:rPr>
      </w:pPr>
      <w:r w:rsidRPr="0016058C">
        <w:rPr>
          <w:rFonts w:ascii="Arial" w:hAnsi="Arial" w:cs="Arial"/>
          <w:sz w:val="22"/>
          <w:szCs w:val="22"/>
        </w:rPr>
        <w:t>Esta inversión pretende ser la base de un proyecto a más largo plazo que vaya más allá del Plan de Recuperación. Las inversiones de este Plan operan en dos planos de actuación.</w:t>
      </w:r>
    </w:p>
    <w:p w:rsidR="00591E7D" w:rsidRPr="00591E7D" w:rsidRDefault="00591E7D" w:rsidP="002C4998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  <w:lang w:val="es-ES"/>
        </w:rPr>
      </w:pPr>
      <w:r w:rsidRPr="0016058C">
        <w:rPr>
          <w:rFonts w:ascii="Arial" w:hAnsi="Arial" w:cs="Arial"/>
          <w:sz w:val="22"/>
          <w:szCs w:val="22"/>
        </w:rPr>
        <w:t>El primer plano incluye un proceso de identificación de los sitios industriales relevantes de nuestro país, lo que permitirá a las diferentes autoridades, principalmente a nivel regional, obtener un mapeo actual y confiable con la geolocalización de diferentes zonas industriales y definir potenciales interrelaciones potenciando sinergias entre ellos.</w:t>
      </w:r>
      <w:r w:rsidR="006C7D80" w:rsidRPr="0016058C">
        <w:rPr>
          <w:rFonts w:ascii="Arial" w:hAnsi="Arial" w:cs="Arial"/>
          <w:sz w:val="22"/>
          <w:szCs w:val="22"/>
        </w:rPr>
        <w:t xml:space="preserve"> A tal fin se desarrollará un mapa </w:t>
      </w:r>
      <w:r w:rsidR="00596DAC" w:rsidRPr="0016058C">
        <w:rPr>
          <w:rFonts w:ascii="Arial" w:hAnsi="Arial" w:cs="Arial"/>
          <w:sz w:val="22"/>
          <w:szCs w:val="22"/>
        </w:rPr>
        <w:t>interactivo</w:t>
      </w:r>
      <w:r w:rsidR="006C7D80" w:rsidRPr="0016058C">
        <w:rPr>
          <w:rFonts w:ascii="Arial" w:hAnsi="Arial" w:cs="Arial"/>
          <w:sz w:val="22"/>
          <w:szCs w:val="22"/>
        </w:rPr>
        <w:t xml:space="preserve"> </w:t>
      </w:r>
      <w:r w:rsidR="00596DAC" w:rsidRPr="0016058C">
        <w:rPr>
          <w:rFonts w:ascii="Arial" w:hAnsi="Arial" w:cs="Arial"/>
          <w:sz w:val="22"/>
          <w:szCs w:val="22"/>
        </w:rPr>
        <w:t>de áreas industriales de todo el territorio nacional. Este proyecto se llevará a cabo con la colaboración de las CC.AA. Cuenta con una dotación de 3 M€.</w:t>
      </w:r>
    </w:p>
    <w:p w:rsidR="00591E7D" w:rsidRDefault="00591E7D" w:rsidP="002C4998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  <w:lang w:val="es-ES"/>
        </w:rPr>
      </w:pPr>
      <w:r w:rsidRPr="00591E7D">
        <w:rPr>
          <w:rFonts w:ascii="Arial" w:hAnsi="Arial" w:cs="Arial"/>
          <w:sz w:val="22"/>
          <w:szCs w:val="22"/>
          <w:lang w:val="es-ES"/>
        </w:rPr>
        <w:t>El segundo, tratará de priorizar las inversiones hacia aquellas zonas con mayor potencial de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591E7D">
        <w:rPr>
          <w:rFonts w:ascii="Arial" w:hAnsi="Arial" w:cs="Arial"/>
          <w:sz w:val="22"/>
          <w:szCs w:val="22"/>
          <w:lang w:val="es-ES"/>
        </w:rPr>
        <w:t>generación de riqueza e innovación que generen altas sinergias con el resto de componentes</w:t>
      </w:r>
      <w:r>
        <w:rPr>
          <w:rFonts w:ascii="Arial" w:hAnsi="Arial" w:cs="Arial"/>
          <w:sz w:val="22"/>
          <w:szCs w:val="22"/>
          <w:lang w:val="es-ES"/>
        </w:rPr>
        <w:t xml:space="preserve"> del PRTR </w:t>
      </w:r>
      <w:r w:rsidRPr="00591E7D">
        <w:rPr>
          <w:rFonts w:ascii="Arial" w:hAnsi="Arial" w:cs="Arial"/>
          <w:sz w:val="22"/>
          <w:szCs w:val="22"/>
          <w:lang w:val="es-ES"/>
        </w:rPr>
        <w:t>especialmente con aquellos componentes relacionados con</w:t>
      </w:r>
      <w:r>
        <w:rPr>
          <w:rFonts w:ascii="Arial" w:hAnsi="Arial" w:cs="Arial"/>
          <w:sz w:val="22"/>
          <w:szCs w:val="22"/>
          <w:lang w:val="es-ES"/>
        </w:rPr>
        <w:t xml:space="preserve"> i</w:t>
      </w:r>
      <w:r w:rsidRPr="00591E7D">
        <w:rPr>
          <w:rFonts w:ascii="Arial" w:hAnsi="Arial" w:cs="Arial"/>
          <w:sz w:val="22"/>
          <w:szCs w:val="22"/>
          <w:lang w:val="es-ES"/>
        </w:rPr>
        <w:t xml:space="preserve">nfraestructuras de </w:t>
      </w:r>
      <w:r>
        <w:rPr>
          <w:rFonts w:ascii="Arial" w:hAnsi="Arial" w:cs="Arial"/>
          <w:sz w:val="22"/>
          <w:szCs w:val="22"/>
          <w:lang w:val="es-ES"/>
        </w:rPr>
        <w:t>r</w:t>
      </w:r>
      <w:r w:rsidRPr="00591E7D">
        <w:rPr>
          <w:rFonts w:ascii="Arial" w:hAnsi="Arial" w:cs="Arial"/>
          <w:sz w:val="22"/>
          <w:szCs w:val="22"/>
          <w:lang w:val="es-ES"/>
        </w:rPr>
        <w:t xml:space="preserve">edes de </w:t>
      </w:r>
      <w:r>
        <w:rPr>
          <w:rFonts w:ascii="Arial" w:hAnsi="Arial" w:cs="Arial"/>
          <w:sz w:val="22"/>
          <w:szCs w:val="22"/>
          <w:lang w:val="es-ES"/>
        </w:rPr>
        <w:t>c</w:t>
      </w:r>
      <w:r w:rsidRPr="00591E7D">
        <w:rPr>
          <w:rFonts w:ascii="Arial" w:hAnsi="Arial" w:cs="Arial"/>
          <w:sz w:val="22"/>
          <w:szCs w:val="22"/>
          <w:lang w:val="es-ES"/>
        </w:rPr>
        <w:t xml:space="preserve">omunicación o aquellos </w:t>
      </w:r>
      <w:r>
        <w:rPr>
          <w:rFonts w:ascii="Arial" w:hAnsi="Arial" w:cs="Arial"/>
          <w:sz w:val="22"/>
          <w:szCs w:val="22"/>
          <w:lang w:val="es-ES"/>
        </w:rPr>
        <w:t>c</w:t>
      </w:r>
      <w:r w:rsidRPr="00591E7D">
        <w:rPr>
          <w:rFonts w:ascii="Arial" w:hAnsi="Arial" w:cs="Arial"/>
          <w:sz w:val="22"/>
          <w:szCs w:val="22"/>
          <w:lang w:val="es-ES"/>
        </w:rPr>
        <w:t>omponentes relacionados con la</w:t>
      </w:r>
      <w:r>
        <w:rPr>
          <w:rFonts w:ascii="Arial" w:hAnsi="Arial" w:cs="Arial"/>
          <w:sz w:val="22"/>
          <w:szCs w:val="22"/>
          <w:lang w:val="es-ES"/>
        </w:rPr>
        <w:t xml:space="preserve"> i</w:t>
      </w:r>
      <w:r w:rsidRPr="00591E7D">
        <w:rPr>
          <w:rFonts w:ascii="Arial" w:hAnsi="Arial" w:cs="Arial"/>
          <w:sz w:val="22"/>
          <w:szCs w:val="22"/>
          <w:lang w:val="es-ES"/>
        </w:rPr>
        <w:t xml:space="preserve">nfraestructura de </w:t>
      </w:r>
      <w:r>
        <w:rPr>
          <w:rFonts w:ascii="Arial" w:hAnsi="Arial" w:cs="Arial"/>
          <w:sz w:val="22"/>
          <w:szCs w:val="22"/>
          <w:lang w:val="es-ES"/>
        </w:rPr>
        <w:t>t</w:t>
      </w:r>
      <w:r w:rsidRPr="00591E7D">
        <w:rPr>
          <w:rFonts w:ascii="Arial" w:hAnsi="Arial" w:cs="Arial"/>
          <w:sz w:val="22"/>
          <w:szCs w:val="22"/>
          <w:lang w:val="es-ES"/>
        </w:rPr>
        <w:t>ransporte (entre otros, interconexiones entre carreteras y ferrocarriles)</w:t>
      </w:r>
      <w:r>
        <w:rPr>
          <w:rFonts w:ascii="Arial" w:hAnsi="Arial" w:cs="Arial"/>
          <w:sz w:val="22"/>
          <w:szCs w:val="22"/>
          <w:lang w:val="es-ES"/>
        </w:rPr>
        <w:t>.</w:t>
      </w:r>
      <w:r w:rsidR="00596DAC">
        <w:rPr>
          <w:rFonts w:ascii="Arial" w:hAnsi="Arial" w:cs="Arial"/>
          <w:sz w:val="22"/>
          <w:szCs w:val="22"/>
          <w:lang w:val="es-ES"/>
        </w:rPr>
        <w:t xml:space="preserve"> Para ello se desarrollará un programa de ayudas a infraestructuras industriales en cuya gestión participarán asimismo las CC.AA. Su dotación es de 10 M€.</w:t>
      </w:r>
    </w:p>
    <w:p w:rsidR="00517824" w:rsidRPr="006D34E1" w:rsidRDefault="00517824" w:rsidP="0080337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CA0691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6D34E1" w:rsidRPr="0098587A" w:rsidRDefault="006D34E1" w:rsidP="006D34E1">
      <w:pPr>
        <w:ind w:left="425"/>
        <w:jc w:val="right"/>
        <w:rPr>
          <w:rFonts w:ascii="Arial" w:hAnsi="Arial" w:cs="Arial"/>
          <w:sz w:val="18"/>
          <w:szCs w:val="18"/>
        </w:rPr>
      </w:pPr>
      <w:r w:rsidRPr="0098587A">
        <w:rPr>
          <w:rFonts w:ascii="Arial" w:hAnsi="Arial" w:cs="Arial"/>
          <w:sz w:val="18"/>
          <w:szCs w:val="18"/>
        </w:rPr>
        <w:t>(Miles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43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6D34E1" w:rsidTr="00CA750C">
        <w:trPr>
          <w:trHeight w:val="337"/>
          <w:tblHeader/>
          <w:jc w:val="center"/>
        </w:trPr>
        <w:tc>
          <w:tcPr>
            <w:tcW w:w="2043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29" w:type="dxa"/>
            <w:vAlign w:val="center"/>
            <w:hideMark/>
          </w:tcPr>
          <w:p w:rsidR="006D34E1" w:rsidRDefault="006D34E1" w:rsidP="006D34E1">
            <w:pPr>
              <w:spacing w:before="120" w:after="12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6D34E1" w:rsidTr="00CA750C">
        <w:trPr>
          <w:trHeight w:hRule="exact" w:val="342"/>
          <w:jc w:val="center"/>
        </w:trPr>
        <w:tc>
          <w:tcPr>
            <w:tcW w:w="2043" w:type="dxa"/>
            <w:vAlign w:val="center"/>
            <w:hideMark/>
          </w:tcPr>
          <w:p w:rsidR="006D34E1" w:rsidRDefault="006D34E1" w:rsidP="001D28CB">
            <w:pPr>
              <w:spacing w:before="60" w:after="60"/>
              <w:ind w:left="2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Pr="001D28CB" w:rsidRDefault="0098587A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340.000</w:t>
            </w:r>
          </w:p>
        </w:tc>
        <w:tc>
          <w:tcPr>
            <w:tcW w:w="829" w:type="dxa"/>
            <w:vAlign w:val="center"/>
            <w:hideMark/>
          </w:tcPr>
          <w:p w:rsidR="006D34E1" w:rsidRPr="001D28CB" w:rsidRDefault="0098587A" w:rsidP="001D28CB">
            <w:pPr>
              <w:spacing w:before="60" w:after="60"/>
              <w:ind w:left="-123" w:right="-96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1.358.521</w:t>
            </w:r>
          </w:p>
        </w:tc>
        <w:tc>
          <w:tcPr>
            <w:tcW w:w="829" w:type="dxa"/>
            <w:vAlign w:val="center"/>
          </w:tcPr>
          <w:p w:rsidR="006D34E1" w:rsidRPr="001D28CB" w:rsidRDefault="0098587A" w:rsidP="0098587A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850.560</w:t>
            </w:r>
          </w:p>
        </w:tc>
        <w:tc>
          <w:tcPr>
            <w:tcW w:w="829" w:type="dxa"/>
            <w:vAlign w:val="center"/>
          </w:tcPr>
          <w:p w:rsidR="006D34E1" w:rsidRPr="0098587A" w:rsidRDefault="006D34E1" w:rsidP="0098587A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  <w:hideMark/>
          </w:tcPr>
          <w:p w:rsidR="006D34E1" w:rsidRPr="00817783" w:rsidRDefault="0098587A" w:rsidP="0098587A">
            <w:pPr>
              <w:spacing w:before="60" w:after="60"/>
              <w:ind w:left="-167" w:right="-66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817783">
              <w:rPr>
                <w:rFonts w:ascii="Arial" w:hAnsi="Arial" w:cs="Arial"/>
                <w:color w:val="000000"/>
                <w:sz w:val="17"/>
                <w:szCs w:val="17"/>
              </w:rPr>
              <w:t>2.549.081</w:t>
            </w:r>
          </w:p>
        </w:tc>
      </w:tr>
      <w:tr w:rsidR="006D34E1" w:rsidTr="00CA750C">
        <w:trPr>
          <w:trHeight w:hRule="exact" w:val="340"/>
          <w:jc w:val="center"/>
        </w:trPr>
        <w:tc>
          <w:tcPr>
            <w:tcW w:w="2043" w:type="dxa"/>
            <w:vAlign w:val="center"/>
            <w:hideMark/>
          </w:tcPr>
          <w:p w:rsidR="006D34E1" w:rsidRDefault="006D34E1" w:rsidP="006D34E1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Pr="001D28CB" w:rsidRDefault="0098587A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510.200</w:t>
            </w:r>
          </w:p>
        </w:tc>
        <w:tc>
          <w:tcPr>
            <w:tcW w:w="829" w:type="dxa"/>
            <w:vAlign w:val="center"/>
          </w:tcPr>
          <w:p w:rsidR="006D34E1" w:rsidRPr="001D28CB" w:rsidRDefault="0098587A" w:rsidP="001D28CB">
            <w:pPr>
              <w:ind w:left="-123" w:right="-111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1.236.229</w:t>
            </w:r>
          </w:p>
        </w:tc>
        <w:tc>
          <w:tcPr>
            <w:tcW w:w="829" w:type="dxa"/>
            <w:vAlign w:val="center"/>
          </w:tcPr>
          <w:p w:rsidR="006D34E1" w:rsidRPr="001D28CB" w:rsidRDefault="0098587A" w:rsidP="001310E6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905.000</w:t>
            </w: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98587A" w:rsidP="001310E6">
            <w:pPr>
              <w:spacing w:before="120" w:after="120" w:line="360" w:lineRule="auto"/>
              <w:ind w:left="-167" w:right="-66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817783">
              <w:rPr>
                <w:rFonts w:ascii="Arial" w:hAnsi="Arial" w:cs="Arial"/>
                <w:color w:val="000000"/>
                <w:sz w:val="17"/>
                <w:szCs w:val="17"/>
              </w:rPr>
              <w:t>2.651.429</w:t>
            </w:r>
          </w:p>
        </w:tc>
      </w:tr>
      <w:tr w:rsidR="006D34E1" w:rsidRPr="00817783" w:rsidTr="00CA750C">
        <w:trPr>
          <w:trHeight w:hRule="exact" w:val="340"/>
          <w:jc w:val="center"/>
        </w:trPr>
        <w:tc>
          <w:tcPr>
            <w:tcW w:w="2043" w:type="dxa"/>
            <w:vAlign w:val="center"/>
            <w:hideMark/>
          </w:tcPr>
          <w:p w:rsidR="006D34E1" w:rsidRDefault="006D34E1" w:rsidP="006D34E1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Pr="001D28CB" w:rsidRDefault="0098587A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850.200</w:t>
            </w:r>
          </w:p>
        </w:tc>
        <w:tc>
          <w:tcPr>
            <w:tcW w:w="829" w:type="dxa"/>
            <w:vAlign w:val="center"/>
          </w:tcPr>
          <w:p w:rsidR="006D34E1" w:rsidRPr="001D28CB" w:rsidRDefault="0098587A" w:rsidP="001D28CB">
            <w:pPr>
              <w:spacing w:before="60" w:after="60"/>
              <w:ind w:left="-123" w:right="-111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2.594.750</w:t>
            </w:r>
          </w:p>
        </w:tc>
        <w:tc>
          <w:tcPr>
            <w:tcW w:w="829" w:type="dxa"/>
            <w:vAlign w:val="center"/>
          </w:tcPr>
          <w:p w:rsidR="006D34E1" w:rsidRPr="001D28CB" w:rsidRDefault="0098587A" w:rsidP="001D28CB">
            <w:pPr>
              <w:spacing w:before="60" w:after="60"/>
              <w:ind w:left="-114" w:right="-122"/>
              <w:jc w:val="right"/>
              <w:rPr>
                <w:rFonts w:ascii="Arial" w:hAnsi="Arial" w:cs="Arial"/>
                <w:noProof/>
                <w:sz w:val="17"/>
                <w:szCs w:val="17"/>
              </w:rPr>
            </w:pPr>
            <w:r w:rsidRPr="001D28CB">
              <w:rPr>
                <w:rFonts w:ascii="Arial" w:hAnsi="Arial" w:cs="Arial"/>
                <w:noProof/>
                <w:sz w:val="17"/>
                <w:szCs w:val="17"/>
              </w:rPr>
              <w:t>1.755.5</w:t>
            </w:r>
            <w:bookmarkStart w:id="0" w:name="_GoBack"/>
            <w:bookmarkEnd w:id="0"/>
            <w:r w:rsidRPr="001D28CB">
              <w:rPr>
                <w:rFonts w:ascii="Arial" w:hAnsi="Arial" w:cs="Arial"/>
                <w:noProof/>
                <w:sz w:val="17"/>
                <w:szCs w:val="17"/>
              </w:rPr>
              <w:t>60</w:t>
            </w: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Default="006D34E1" w:rsidP="006D34E1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  <w:tc>
          <w:tcPr>
            <w:tcW w:w="829" w:type="dxa"/>
            <w:vAlign w:val="center"/>
          </w:tcPr>
          <w:p w:rsidR="006D34E1" w:rsidRPr="00817783" w:rsidRDefault="0098587A" w:rsidP="00817783">
            <w:pPr>
              <w:spacing w:before="120" w:after="120" w:line="360" w:lineRule="auto"/>
              <w:ind w:left="-167" w:right="-66"/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817783">
              <w:rPr>
                <w:rFonts w:ascii="Arial" w:hAnsi="Arial" w:cs="Arial"/>
                <w:color w:val="000000"/>
                <w:sz w:val="17"/>
                <w:szCs w:val="17"/>
              </w:rPr>
              <w:t>5.200.510</w:t>
            </w:r>
          </w:p>
        </w:tc>
      </w:tr>
    </w:tbl>
    <w:p w:rsidR="00517824" w:rsidRPr="0016058C" w:rsidRDefault="00517824" w:rsidP="00587720">
      <w:pPr>
        <w:spacing w:before="240" w:after="120" w:line="360" w:lineRule="auto"/>
        <w:rPr>
          <w:rFonts w:ascii="Arial" w:hAnsi="Arial" w:cs="Arial"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CA0691" w:rsidRPr="00517824">
        <w:rPr>
          <w:rFonts w:ascii="Arial" w:hAnsi="Arial" w:cs="Arial"/>
          <w:b/>
          <w:sz w:val="22"/>
          <w:szCs w:val="22"/>
        </w:rPr>
        <w:t xml:space="preserve">HITOS Y OBJETIVOS DE LA </w:t>
      </w:r>
      <w:r w:rsidR="00CA0691" w:rsidRPr="00866338">
        <w:rPr>
          <w:rFonts w:ascii="Arial" w:hAnsi="Arial" w:cs="Arial"/>
          <w:b/>
          <w:sz w:val="22"/>
          <w:szCs w:val="22"/>
        </w:rPr>
        <w:t xml:space="preserve">INVERSIÓN </w:t>
      </w:r>
    </w:p>
    <w:p w:rsidR="006C7D80" w:rsidRPr="00866338" w:rsidRDefault="006C7D80" w:rsidP="001310E6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866338">
        <w:rPr>
          <w:rFonts w:ascii="Arial" w:hAnsi="Arial" w:cs="Arial"/>
          <w:sz w:val="22"/>
          <w:szCs w:val="22"/>
        </w:rPr>
        <w:t>Esta actuación se integra en el objetivo general de cumplir con una ejecución presupuestaria de al menos 2.531 M€ movilizados en 210 proyectos innovadores, incluidos los relacionados con los PERTE, que impliquen una transformación real de la industria en términos de eficiencia energética, sostenibilidad y transformación digital y supongan una inversión privada movilizada de al menos 3.800 M€. El plazo para su cumplimiento se fija en el cuarto trimestre de 2024</w:t>
      </w:r>
      <w:r w:rsidR="00375534" w:rsidRPr="00866338">
        <w:rPr>
          <w:rFonts w:ascii="Arial" w:hAnsi="Arial" w:cs="Arial"/>
          <w:sz w:val="22"/>
          <w:szCs w:val="22"/>
        </w:rPr>
        <w:t>.</w:t>
      </w:r>
    </w:p>
    <w:p w:rsidR="007F42A0" w:rsidRDefault="007F42A0" w:rsidP="0062020A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37135">
        <w:rPr>
          <w:rFonts w:ascii="Arial" w:hAnsi="Arial" w:cs="Arial"/>
          <w:sz w:val="22"/>
          <w:szCs w:val="22"/>
        </w:rPr>
        <w:lastRenderedPageBreak/>
        <w:t xml:space="preserve">Objetivo 1. Proyectos innovadores para la transformación de la industria en términos de eficiencia energética, sostenibilidad y digitalización: Concesión por el Ministerio de Industria de al menos 1.200.000.000 EUR al menos a 78 proyectos innovadores, incluidos los relacionados con </w:t>
      </w:r>
      <w:proofErr w:type="spellStart"/>
      <w:r w:rsidRPr="00937135">
        <w:rPr>
          <w:rFonts w:ascii="Arial" w:hAnsi="Arial" w:cs="Arial"/>
          <w:sz w:val="22"/>
          <w:szCs w:val="22"/>
        </w:rPr>
        <w:t>PERTEs</w:t>
      </w:r>
      <w:proofErr w:type="spellEnd"/>
      <w:r w:rsidRPr="00937135">
        <w:rPr>
          <w:rFonts w:ascii="Arial" w:hAnsi="Arial" w:cs="Arial"/>
          <w:sz w:val="22"/>
          <w:szCs w:val="22"/>
        </w:rPr>
        <w:t xml:space="preserve"> aprobados (al menos 3), que impliquen una transformación sustancial de la industria en términos de eficiencia energética, sostenibilidad y transformación digital.</w:t>
      </w:r>
    </w:p>
    <w:p w:rsidR="007F42A0" w:rsidRDefault="007F42A0" w:rsidP="0062020A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37135">
        <w:rPr>
          <w:rFonts w:ascii="Arial" w:hAnsi="Arial" w:cs="Arial"/>
          <w:sz w:val="22"/>
          <w:szCs w:val="22"/>
        </w:rPr>
        <w:t xml:space="preserve">Objetivo 2. Ejecución presupuestaria de </w:t>
      </w:r>
      <w:proofErr w:type="spellStart"/>
      <w:r w:rsidRPr="00937135">
        <w:rPr>
          <w:rFonts w:ascii="Arial" w:hAnsi="Arial" w:cs="Arial"/>
          <w:sz w:val="22"/>
          <w:szCs w:val="22"/>
        </w:rPr>
        <w:t>PERTEs</w:t>
      </w:r>
      <w:proofErr w:type="spellEnd"/>
      <w:r w:rsidRPr="00937135">
        <w:rPr>
          <w:rFonts w:ascii="Arial" w:hAnsi="Arial" w:cs="Arial"/>
          <w:sz w:val="22"/>
          <w:szCs w:val="22"/>
        </w:rPr>
        <w:t xml:space="preserve"> y proyectos innovadores para la transformación de la industria: Ejecución presupuestaria de al menos 2.531.500.000 EUR movilizados en 210 proyectos innovadores, incluidos los relacionados con </w:t>
      </w:r>
      <w:proofErr w:type="spellStart"/>
      <w:r w:rsidRPr="00937135">
        <w:rPr>
          <w:rFonts w:ascii="Arial" w:hAnsi="Arial" w:cs="Arial"/>
          <w:sz w:val="22"/>
          <w:szCs w:val="22"/>
        </w:rPr>
        <w:t>PERTEs</w:t>
      </w:r>
      <w:proofErr w:type="spellEnd"/>
      <w:r w:rsidRPr="00937135">
        <w:rPr>
          <w:rFonts w:ascii="Arial" w:hAnsi="Arial" w:cs="Arial"/>
          <w:sz w:val="22"/>
          <w:szCs w:val="22"/>
        </w:rPr>
        <w:t xml:space="preserve"> aprobados (al menos 3), que impliquen una transformación real de la industria en términos de eficiencia energética, sostenibilidad y transformación digital.</w:t>
      </w:r>
    </w:p>
    <w:p w:rsidR="007F42A0" w:rsidRPr="00937135" w:rsidRDefault="007F42A0" w:rsidP="0062020A">
      <w:pPr>
        <w:pStyle w:val="Prrafodelista"/>
        <w:numPr>
          <w:ilvl w:val="0"/>
          <w:numId w:val="9"/>
        </w:numPr>
        <w:spacing w:before="120" w:after="120" w:line="360" w:lineRule="auto"/>
        <w:ind w:left="709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37135">
        <w:rPr>
          <w:rFonts w:ascii="Arial" w:hAnsi="Arial" w:cs="Arial"/>
          <w:sz w:val="22"/>
          <w:szCs w:val="22"/>
        </w:rPr>
        <w:t xml:space="preserve">Objetivo 3. Finalización de </w:t>
      </w:r>
      <w:proofErr w:type="spellStart"/>
      <w:r w:rsidRPr="00937135">
        <w:rPr>
          <w:rFonts w:ascii="Arial" w:hAnsi="Arial" w:cs="Arial"/>
          <w:sz w:val="22"/>
          <w:szCs w:val="22"/>
        </w:rPr>
        <w:t>PERTEs</w:t>
      </w:r>
      <w:proofErr w:type="spellEnd"/>
      <w:r w:rsidRPr="00937135">
        <w:rPr>
          <w:rFonts w:ascii="Arial" w:hAnsi="Arial" w:cs="Arial"/>
          <w:sz w:val="22"/>
          <w:szCs w:val="22"/>
        </w:rPr>
        <w:t xml:space="preserve"> y proyectos innovadores para la transformación de la industria: Finalización de al menos 210 proyectos innovadores, incluidos los relacionados con </w:t>
      </w:r>
      <w:proofErr w:type="spellStart"/>
      <w:r w:rsidRPr="00937135">
        <w:rPr>
          <w:rFonts w:ascii="Arial" w:hAnsi="Arial" w:cs="Arial"/>
          <w:sz w:val="22"/>
          <w:szCs w:val="22"/>
        </w:rPr>
        <w:t>PERTEs</w:t>
      </w:r>
      <w:proofErr w:type="spellEnd"/>
      <w:r w:rsidRPr="00937135">
        <w:rPr>
          <w:rFonts w:ascii="Arial" w:hAnsi="Arial" w:cs="Arial"/>
          <w:sz w:val="22"/>
          <w:szCs w:val="22"/>
        </w:rPr>
        <w:t xml:space="preserve"> aprobados (al menos 3), que impliquen una transformación real de la industria en términos de eficiencia energética, sostenibilidad y transformación digital.</w:t>
      </w:r>
    </w:p>
    <w:sectPr w:rsidR="007F42A0" w:rsidRPr="00937135" w:rsidSect="00803374">
      <w:pgSz w:w="11907" w:h="16840" w:code="9"/>
      <w:pgMar w:top="1985" w:right="1134" w:bottom="1134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9FD"/>
    <w:multiLevelType w:val="hybridMultilevel"/>
    <w:tmpl w:val="E1725670"/>
    <w:lvl w:ilvl="0" w:tplc="151AE33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65190"/>
    <w:multiLevelType w:val="hybridMultilevel"/>
    <w:tmpl w:val="6C9ADF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B203F"/>
    <w:multiLevelType w:val="hybridMultilevel"/>
    <w:tmpl w:val="D2165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D36F7"/>
    <w:multiLevelType w:val="hybridMultilevel"/>
    <w:tmpl w:val="D7CE7D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E5334"/>
    <w:multiLevelType w:val="hybridMultilevel"/>
    <w:tmpl w:val="5010F92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D085C86"/>
    <w:multiLevelType w:val="hybridMultilevel"/>
    <w:tmpl w:val="A8426952"/>
    <w:lvl w:ilvl="0" w:tplc="0C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3251D"/>
    <w:rsid w:val="00062AE0"/>
    <w:rsid w:val="00080CFF"/>
    <w:rsid w:val="000A1311"/>
    <w:rsid w:val="000C68A4"/>
    <w:rsid w:val="000F3FBB"/>
    <w:rsid w:val="001310E6"/>
    <w:rsid w:val="0016058C"/>
    <w:rsid w:val="00163D0D"/>
    <w:rsid w:val="0019750E"/>
    <w:rsid w:val="001A5F87"/>
    <w:rsid w:val="001B34B9"/>
    <w:rsid w:val="001D28CB"/>
    <w:rsid w:val="002957D0"/>
    <w:rsid w:val="002A6B96"/>
    <w:rsid w:val="002B362E"/>
    <w:rsid w:val="002C4998"/>
    <w:rsid w:val="002D6322"/>
    <w:rsid w:val="002F0C59"/>
    <w:rsid w:val="003154A2"/>
    <w:rsid w:val="003208C4"/>
    <w:rsid w:val="00343745"/>
    <w:rsid w:val="0035033C"/>
    <w:rsid w:val="00375534"/>
    <w:rsid w:val="00377A9D"/>
    <w:rsid w:val="00382F6E"/>
    <w:rsid w:val="003A7E9B"/>
    <w:rsid w:val="003B52B3"/>
    <w:rsid w:val="003D56D8"/>
    <w:rsid w:val="003E7D9E"/>
    <w:rsid w:val="00440143"/>
    <w:rsid w:val="0046397C"/>
    <w:rsid w:val="004C057D"/>
    <w:rsid w:val="004D0027"/>
    <w:rsid w:val="00517824"/>
    <w:rsid w:val="00531BE2"/>
    <w:rsid w:val="00533EE7"/>
    <w:rsid w:val="005624D2"/>
    <w:rsid w:val="00564761"/>
    <w:rsid w:val="00587720"/>
    <w:rsid w:val="00591E7D"/>
    <w:rsid w:val="00596DAC"/>
    <w:rsid w:val="005A5B0E"/>
    <w:rsid w:val="005B477A"/>
    <w:rsid w:val="005C4BF4"/>
    <w:rsid w:val="00601CB0"/>
    <w:rsid w:val="0062020A"/>
    <w:rsid w:val="00667D18"/>
    <w:rsid w:val="00674E42"/>
    <w:rsid w:val="00691723"/>
    <w:rsid w:val="006C7D80"/>
    <w:rsid w:val="006D34E1"/>
    <w:rsid w:val="006F018F"/>
    <w:rsid w:val="007425DE"/>
    <w:rsid w:val="007B6373"/>
    <w:rsid w:val="007E1565"/>
    <w:rsid w:val="007E37FC"/>
    <w:rsid w:val="007F3B1F"/>
    <w:rsid w:val="007F42A0"/>
    <w:rsid w:val="00803374"/>
    <w:rsid w:val="008076C5"/>
    <w:rsid w:val="00817783"/>
    <w:rsid w:val="008476C0"/>
    <w:rsid w:val="008620A4"/>
    <w:rsid w:val="00866338"/>
    <w:rsid w:val="008B3CA0"/>
    <w:rsid w:val="008B6C42"/>
    <w:rsid w:val="008D6462"/>
    <w:rsid w:val="008F0C79"/>
    <w:rsid w:val="00901180"/>
    <w:rsid w:val="0093453B"/>
    <w:rsid w:val="00937135"/>
    <w:rsid w:val="00952F88"/>
    <w:rsid w:val="0098587A"/>
    <w:rsid w:val="00991697"/>
    <w:rsid w:val="009A64D7"/>
    <w:rsid w:val="009A7074"/>
    <w:rsid w:val="00A06941"/>
    <w:rsid w:val="00A101B0"/>
    <w:rsid w:val="00A176EA"/>
    <w:rsid w:val="00A32DF7"/>
    <w:rsid w:val="00A44DEA"/>
    <w:rsid w:val="00A722E9"/>
    <w:rsid w:val="00A9503D"/>
    <w:rsid w:val="00AE318F"/>
    <w:rsid w:val="00B305D2"/>
    <w:rsid w:val="00B30BB6"/>
    <w:rsid w:val="00B6769D"/>
    <w:rsid w:val="00B80D92"/>
    <w:rsid w:val="00B94E3B"/>
    <w:rsid w:val="00BB64BC"/>
    <w:rsid w:val="00BE5B5A"/>
    <w:rsid w:val="00C87CB2"/>
    <w:rsid w:val="00CA0691"/>
    <w:rsid w:val="00CA5DBC"/>
    <w:rsid w:val="00CA750C"/>
    <w:rsid w:val="00CB58FF"/>
    <w:rsid w:val="00CB75ED"/>
    <w:rsid w:val="00D035C9"/>
    <w:rsid w:val="00D152C3"/>
    <w:rsid w:val="00D25AF3"/>
    <w:rsid w:val="00D46D8D"/>
    <w:rsid w:val="00D955DD"/>
    <w:rsid w:val="00DC7CA9"/>
    <w:rsid w:val="00E40A88"/>
    <w:rsid w:val="00EB1F97"/>
    <w:rsid w:val="00EB4984"/>
    <w:rsid w:val="00EB4EEA"/>
    <w:rsid w:val="00EC7AD9"/>
    <w:rsid w:val="00ED092E"/>
    <w:rsid w:val="00F812D7"/>
    <w:rsid w:val="00F92F51"/>
    <w:rsid w:val="00F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,Párrafo dentro,Normal N3,Arial 8,Bullet,Párrafo de lista11,List Paragraph1,Lista1,Párrafo de lista - cat,Resume Title,Dot pt,No Spacing1,List Paragraph Char Char Char,Indicator Text,Numbered Para 1,Bullet Points,MAIN CONTENT,b1,K1"/>
    <w:basedOn w:val="Normal"/>
    <w:link w:val="PrrafodelistaCar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character" w:customStyle="1" w:styleId="PrrafodelistaCar">
    <w:name w:val="Párrafo de lista Car"/>
    <w:aliases w:val="List Car,Párrafo dentro Car,Normal N3 Car,Arial 8 Car,Bullet Car,Párrafo de lista11 Car,List Paragraph1 Car,Lista1 Car,Párrafo de lista - cat Car,Resume Title Car,Dot pt Car,No Spacing1 Car,List Paragraph Char Char Char Car,b1 Car"/>
    <w:link w:val="Prrafodelista"/>
    <w:uiPriority w:val="34"/>
    <w:qFormat/>
    <w:rsid w:val="002D6322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9DC4-A223-41B4-8152-03094D0A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1548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Angulo Santos, Félix</cp:lastModifiedBy>
  <cp:revision>22</cp:revision>
  <cp:lastPrinted>2021-10-05T15:09:00Z</cp:lastPrinted>
  <dcterms:created xsi:type="dcterms:W3CDTF">2021-09-30T09:33:00Z</dcterms:created>
  <dcterms:modified xsi:type="dcterms:W3CDTF">2021-10-15T09:28:00Z</dcterms:modified>
</cp:coreProperties>
</file>